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E0" w:rsidRDefault="00B126E0">
      <w:pPr>
        <w:rPr>
          <w:rStyle w:val="a6"/>
          <w:lang w:val="uk-UA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2669"/>
        <w:gridCol w:w="7531"/>
      </w:tblGrid>
      <w:tr w:rsidR="00B126E0" w:rsidTr="008B3A32">
        <w:trPr>
          <w:trHeight w:val="264"/>
        </w:trPr>
        <w:tc>
          <w:tcPr>
            <w:tcW w:w="2669" w:type="dxa"/>
          </w:tcPr>
          <w:p w:rsidR="00B126E0" w:rsidRPr="00B87320" w:rsidRDefault="00B126E0" w:rsidP="008B3A32">
            <w:pPr>
              <w:widowControl w:val="0"/>
              <w:tabs>
                <w:tab w:val="left" w:pos="0"/>
              </w:tabs>
              <w:spacing w:line="276" w:lineRule="auto"/>
              <w:rPr>
                <w:noProof/>
                <w:color w:val="0070C0"/>
              </w:rPr>
            </w:pPr>
            <w:r>
              <w:rPr>
                <w:noProof/>
                <w:color w:val="0070C0"/>
                <w:lang w:val="uk-UA" w:eastAsia="uk-UA"/>
              </w:rPr>
              <w:drawing>
                <wp:inline distT="0" distB="0" distL="0" distR="0">
                  <wp:extent cx="1535430" cy="1535430"/>
                  <wp:effectExtent l="0" t="0" r="7620" b="7620"/>
                  <wp:docPr id="2" name="Рисунок 2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</w:tcPr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  <w:lang w:val="en-US" w:eastAsia="uk-UA"/>
              </w:rPr>
            </w:pPr>
          </w:p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  <w:t>СПІЛКА СПЕЦІАЛІСТІВ В ГАЛУЗІ БУДІВНИЦТВА</w:t>
            </w:r>
          </w:p>
          <w:p w:rsidR="00B126E0" w:rsidRDefault="00FA5F7D" w:rsidP="008B3A3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</w:rPr>
              <w:pict>
                <v:rect id="_x0000_i1025" style="width:473.7pt;height:2.25pt" o:hrpct="940" o:hralign="center" o:hrstd="t" o:hrnoshade="t" o:hr="t" fillcolor="black" stroked="f">
                  <v:imagedata r:id="rId5" o:title=""/>
                </v:rect>
              </w:pict>
            </w:r>
          </w:p>
          <w:tbl>
            <w:tblPr>
              <w:tblW w:w="7680" w:type="dxa"/>
              <w:tblLayout w:type="fixed"/>
              <w:tblLook w:val="00A0" w:firstRow="1" w:lastRow="0" w:firstColumn="1" w:lastColumn="0" w:noHBand="0" w:noVBand="0"/>
            </w:tblPr>
            <w:tblGrid>
              <w:gridCol w:w="4286"/>
              <w:gridCol w:w="3394"/>
            </w:tblGrid>
            <w:tr w:rsidR="00B126E0" w:rsidTr="008B3A32"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B126E0" w:rsidRDefault="00B126E0" w:rsidP="008B3A32">
                  <w:pPr>
                    <w:widowControl w:val="0"/>
                    <w:spacing w:line="300" w:lineRule="auto"/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>м.</w:t>
                  </w:r>
                  <w:r w:rsidRPr="009F7011">
                    <w:rPr>
                      <w:i/>
                      <w:color w:val="0033CC"/>
                      <w:sz w:val="20"/>
                    </w:rPr>
                    <w:t xml:space="preserve">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Київ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бульвар 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Вернадського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57, </w:t>
                  </w:r>
                  <w:proofErr w:type="spellStart"/>
                  <w:r>
                    <w:rPr>
                      <w:i/>
                      <w:color w:val="0033CC"/>
                      <w:sz w:val="20"/>
                    </w:rPr>
                    <w:t>офіс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 98  </w:t>
                  </w:r>
                  <w:hyperlink r:id="rId6" w:history="1">
                    <w:r w:rsidRPr="00ED4913">
                      <w:rPr>
                        <w:i/>
                        <w:color w:val="0033CC"/>
                        <w:sz w:val="20"/>
                        <w:szCs w:val="20"/>
                      </w:rPr>
                      <w:t>http://www.sgbukr.com</w:t>
                    </w:r>
                  </w:hyperlink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, e-</w:t>
                  </w:r>
                  <w:proofErr w:type="spellStart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mail</w:t>
                  </w:r>
                  <w:proofErr w:type="spellEnd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: copb@ukr.net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EF3FB2" w:rsidRDefault="00B126E0" w:rsidP="008B3A32">
                  <w:pPr>
                    <w:tabs>
                      <w:tab w:val="left" w:pos="0"/>
                      <w:tab w:val="left" w:pos="306"/>
                      <w:tab w:val="right" w:pos="3178"/>
                    </w:tabs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ab/>
                    <w:t xml:space="preserve">     </w:t>
                  </w:r>
                  <w:r w:rsidRPr="00EF3FB2">
                    <w:rPr>
                      <w:i/>
                      <w:color w:val="0033CC"/>
                      <w:sz w:val="20"/>
                    </w:rPr>
                    <w:t>моб. (067)443-72-03</w:t>
                  </w:r>
                </w:p>
              </w:tc>
            </w:tr>
          </w:tbl>
          <w:p w:rsidR="00B126E0" w:rsidRDefault="00B126E0" w:rsidP="008B3A32">
            <w:pPr>
              <w:widowControl w:val="0"/>
              <w:spacing w:line="300" w:lineRule="auto"/>
              <w:rPr>
                <w:noProof/>
              </w:rPr>
            </w:pPr>
          </w:p>
        </w:tc>
      </w:tr>
    </w:tbl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7F53F2" w:rsidRDefault="007F53F2" w:rsidP="00C06048">
      <w:pPr>
        <w:jc w:val="center"/>
        <w:rPr>
          <w:rStyle w:val="a6"/>
          <w:lang w:val="uk-UA"/>
        </w:rPr>
      </w:pPr>
      <w:r>
        <w:rPr>
          <w:rStyle w:val="a6"/>
          <w:lang w:val="uk-UA"/>
        </w:rPr>
        <w:t xml:space="preserve">ПЕРЕЛІК (КОДИФІКАТОР) </w:t>
      </w:r>
      <w:bookmarkStart w:id="0" w:name="_GoBack"/>
      <w:r w:rsidR="00C06048" w:rsidRPr="00C06048">
        <w:rPr>
          <w:rStyle w:val="a6"/>
          <w:lang w:val="uk-UA"/>
        </w:rPr>
        <w:t>ІНЖЕНЕРНІ МЕРЕЖІ</w:t>
      </w:r>
      <w:r w:rsidR="00C06048">
        <w:rPr>
          <w:rStyle w:val="a6"/>
          <w:lang w:val="uk-UA"/>
        </w:rPr>
        <w:t xml:space="preserve"> </w:t>
      </w:r>
      <w:bookmarkEnd w:id="0"/>
      <w:r>
        <w:rPr>
          <w:rStyle w:val="a6"/>
          <w:lang w:val="uk-UA"/>
        </w:rPr>
        <w:t xml:space="preserve">ПРОВАДЖЕННЯ ГОСПОДАРСЬКОЇ ДІЯЛЬНОСТІ </w:t>
      </w:r>
      <w:r w:rsidRPr="00672D95">
        <w:rPr>
          <w:rStyle w:val="a6"/>
          <w:lang w:val="uk-UA"/>
        </w:rPr>
        <w:t>IV</w:t>
      </w:r>
      <w:r w:rsidRPr="007F53F2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і</w:t>
      </w:r>
      <w:r w:rsidRPr="007F53F2">
        <w:rPr>
          <w:rStyle w:val="a6"/>
          <w:lang w:val="uk-UA"/>
        </w:rPr>
        <w:t xml:space="preserve"> </w:t>
      </w:r>
      <w:r w:rsidRPr="00672D95">
        <w:rPr>
          <w:rStyle w:val="a6"/>
          <w:lang w:val="uk-UA"/>
        </w:rPr>
        <w:t>V</w:t>
      </w:r>
      <w:r>
        <w:rPr>
          <w:rStyle w:val="a6"/>
          <w:lang w:val="uk-UA"/>
        </w:rPr>
        <w:t xml:space="preserve"> КАТЕГОРІЇ СКЛАДНОСТІ</w:t>
      </w:r>
    </w:p>
    <w:p w:rsidR="007F53F2" w:rsidRPr="007F53F2" w:rsidRDefault="007F53F2">
      <w:pPr>
        <w:rPr>
          <w:rStyle w:val="a6"/>
          <w:sz w:val="16"/>
          <w:szCs w:val="16"/>
          <w:lang w:val="uk-UA"/>
        </w:rPr>
      </w:pPr>
    </w:p>
    <w:p w:rsidR="007F53F2" w:rsidRPr="009710F9" w:rsidRDefault="009710F9">
      <w:pPr>
        <w:rPr>
          <w:rStyle w:val="a6"/>
          <w:lang w:val="uk-UA"/>
        </w:rPr>
      </w:pPr>
      <w:r w:rsidRPr="009710F9">
        <w:rPr>
          <w:lang w:val="uk-UA"/>
        </w:rPr>
        <w:t>З</w:t>
      </w:r>
      <w:r w:rsidR="007F53F2" w:rsidRPr="009710F9">
        <w:rPr>
          <w:lang w:val="uk-UA"/>
        </w:rPr>
        <w:t xml:space="preserve">атверджений </w:t>
      </w:r>
      <w:r w:rsidR="007F53F2" w:rsidRPr="009710F9">
        <w:rPr>
          <w:rStyle w:val="rvts9"/>
          <w:lang w:val="uk-UA"/>
        </w:rPr>
        <w:t>постановою Кабінету Міністрів України  від 30 березня 2016 р. № 256</w:t>
      </w:r>
      <w:r w:rsidR="007F53F2" w:rsidRPr="009710F9">
        <w:rPr>
          <w:lang w:val="uk-UA"/>
        </w:rPr>
        <w:t xml:space="preserve"> «</w:t>
      </w:r>
      <w:r w:rsidR="007F53F2" w:rsidRPr="009710F9">
        <w:rPr>
          <w:rStyle w:val="rvts23"/>
          <w:lang w:val="uk-UA"/>
        </w:rPr>
        <w:t xml:space="preserve">Деякі питання ліцензування будівництва об’єктів </w:t>
      </w:r>
      <w:r w:rsidR="007F53F2" w:rsidRPr="009710F9">
        <w:rPr>
          <w:rStyle w:val="rvts23"/>
        </w:rPr>
        <w:t>IV</w:t>
      </w:r>
      <w:r w:rsidR="007F53F2" w:rsidRPr="009710F9">
        <w:rPr>
          <w:rStyle w:val="rvts23"/>
          <w:lang w:val="uk-UA"/>
        </w:rPr>
        <w:t xml:space="preserve"> і </w:t>
      </w:r>
      <w:r w:rsidR="007F53F2" w:rsidRPr="009710F9">
        <w:rPr>
          <w:rStyle w:val="rvts23"/>
        </w:rPr>
        <w:t>V</w:t>
      </w:r>
      <w:r w:rsidR="007F53F2" w:rsidRPr="009710F9">
        <w:rPr>
          <w:rStyle w:val="rvts23"/>
          <w:lang w:val="uk-UA"/>
        </w:rPr>
        <w:t xml:space="preserve"> категорій складності» </w:t>
      </w:r>
    </w:p>
    <w:p w:rsidR="009710F9" w:rsidRDefault="009710F9">
      <w:pPr>
        <w:rPr>
          <w:rStyle w:val="a6"/>
          <w:lang w:val="uk-UA"/>
        </w:rPr>
      </w:pPr>
    </w:p>
    <w:tbl>
      <w:tblPr>
        <w:tblW w:w="981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788"/>
      </w:tblGrid>
      <w:tr w:rsidR="009710F9" w:rsidRPr="007F53F2" w:rsidTr="000B12D1">
        <w:tc>
          <w:tcPr>
            <w:tcW w:w="1030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>Код</w:t>
            </w:r>
          </w:p>
        </w:tc>
        <w:tc>
          <w:tcPr>
            <w:tcW w:w="8788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 xml:space="preserve">Вид </w:t>
            </w:r>
            <w:proofErr w:type="spellStart"/>
            <w:r w:rsidRPr="007F53F2">
              <w:rPr>
                <w:b/>
              </w:rPr>
              <w:t>робіт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1.00.00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БУДІВЕЛЬНІ ТА МОНТАЖНІ РОБОТИ ЗАГАЛЬНОГО ПРИЗНАЧЕННЯ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.1</w:t>
            </w:r>
            <w:r w:rsidRPr="007F53F2">
              <w:rPr>
                <w:lang w:val="uk-UA"/>
              </w:rPr>
              <w:t>2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Монтаж </w:t>
            </w:r>
            <w:proofErr w:type="spellStart"/>
            <w:r w:rsidRPr="007F53F2">
              <w:t>технологічного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устаткування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.1</w:t>
            </w:r>
            <w:r w:rsidRPr="007F53F2">
              <w:rPr>
                <w:lang w:val="uk-UA"/>
              </w:rPr>
              <w:t>3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Виконання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пусконалагоджувальних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робіт</w:t>
            </w:r>
            <w:proofErr w:type="spellEnd"/>
            <w:r w:rsidRPr="007F53F2">
              <w:t xml:space="preserve"> 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1.13.01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електротехнічних пристроїв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1.13.02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автоматизованих систем управління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1.13.03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систем вентиляції та кондиціонування повітря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1.13.04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підйомно-транспортного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1.13.05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металообробного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1.13.06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холодильних і компресорних установок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1.13.07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теплоенергетичного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1.13.08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деревообробного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1.13.09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водопостачання та водовідведення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2.00.00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БУДІВНИЦТВО ОБЄКТІВ ІНЖЕНЕРНОЇ ІНФРАКСТРУКТУРИ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Монтаж </w:t>
            </w:r>
            <w:proofErr w:type="spellStart"/>
            <w:r w:rsidRPr="007F53F2">
              <w:t>внутрішніх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інженерних</w:t>
            </w:r>
            <w:proofErr w:type="spellEnd"/>
            <w:r w:rsidRPr="007F53F2">
              <w:t xml:space="preserve"> мереж, систем, </w:t>
            </w:r>
            <w:proofErr w:type="spellStart"/>
            <w:r w:rsidRPr="007F53F2">
              <w:t>приладів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засобів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вимірювання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01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Водопроводу та </w:t>
            </w:r>
            <w:proofErr w:type="spellStart"/>
            <w:r w:rsidRPr="007F53F2">
              <w:t>каналізації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02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Опалення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03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Вентиляції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кондиціювання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повiтря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04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Газопостачання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газообладнання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05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Технологічних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трубопроводів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rPr>
                <w:lang w:val="uk-UA"/>
              </w:rPr>
              <w:t>2.01.</w:t>
            </w:r>
            <w:r w:rsidRPr="007F53F2">
              <w:t>0</w:t>
            </w:r>
            <w:r w:rsidRPr="007F53F2">
              <w:rPr>
                <w:lang w:val="uk-UA"/>
              </w:rPr>
              <w:t>6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Електропостачання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електрообладнання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електроосвітлення</w:t>
            </w:r>
            <w:proofErr w:type="spellEnd"/>
            <w:r w:rsidRPr="007F53F2">
              <w:t xml:space="preserve"> </w:t>
            </w:r>
          </w:p>
        </w:tc>
      </w:tr>
      <w:tr w:rsidR="009710F9" w:rsidRPr="00D24506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rPr>
                <w:lang w:val="uk-UA"/>
              </w:rPr>
              <w:t>2.01.</w:t>
            </w:r>
            <w:r w:rsidRPr="007F53F2">
              <w:t>0</w:t>
            </w:r>
            <w:r w:rsidRPr="007F53F2">
              <w:rPr>
                <w:lang w:val="uk-UA"/>
              </w:rPr>
              <w:t>7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proofErr w:type="spellStart"/>
            <w:r w:rsidRPr="007F53F2">
              <w:rPr>
                <w:lang w:val="uk-UA"/>
              </w:rPr>
              <w:t>Автоматизац</w:t>
            </w:r>
            <w:proofErr w:type="spellEnd"/>
            <w:r w:rsidRPr="007F53F2">
              <w:t>i</w:t>
            </w:r>
            <w:r w:rsidRPr="007F53F2">
              <w:rPr>
                <w:lang w:val="uk-UA"/>
              </w:rPr>
              <w:t xml:space="preserve">ї </w:t>
            </w:r>
            <w:r w:rsidRPr="007F53F2">
              <w:t>i</w:t>
            </w:r>
            <w:r w:rsidRPr="007F53F2">
              <w:rPr>
                <w:lang w:val="uk-UA"/>
              </w:rPr>
              <w:t xml:space="preserve"> контрольно-вимірювальних приладів, зв'язку, сигнал</w:t>
            </w:r>
            <w:r w:rsidRPr="007F53F2">
              <w:t>i</w:t>
            </w:r>
            <w:proofErr w:type="spellStart"/>
            <w:r w:rsidRPr="007F53F2">
              <w:rPr>
                <w:lang w:val="uk-UA"/>
              </w:rPr>
              <w:t>зац</w:t>
            </w:r>
            <w:proofErr w:type="spellEnd"/>
            <w:r w:rsidRPr="007F53F2">
              <w:t>i</w:t>
            </w:r>
            <w:r w:rsidRPr="007F53F2">
              <w:rPr>
                <w:lang w:val="uk-UA"/>
              </w:rPr>
              <w:t>ї,  радіо, телебачення, інформаційних</w:t>
            </w:r>
          </w:p>
        </w:tc>
      </w:tr>
      <w:tr w:rsidR="00C06048" w:rsidRPr="00D24506" w:rsidTr="00D24506">
        <w:tc>
          <w:tcPr>
            <w:tcW w:w="1030" w:type="dxa"/>
          </w:tcPr>
          <w:p w:rsidR="00C06048" w:rsidRDefault="00C06048" w:rsidP="00C06048">
            <w:pPr>
              <w:spacing w:line="276" w:lineRule="auto"/>
              <w:ind w:left="34"/>
            </w:pPr>
            <w:r>
              <w:rPr>
                <w:lang w:val="uk-UA"/>
              </w:rPr>
              <w:t>2</w:t>
            </w:r>
            <w:r>
              <w:t>.02.00</w:t>
            </w:r>
          </w:p>
        </w:tc>
        <w:tc>
          <w:tcPr>
            <w:tcW w:w="8788" w:type="dxa"/>
          </w:tcPr>
          <w:p w:rsidR="00C06048" w:rsidRDefault="00C06048" w:rsidP="00C06048">
            <w:pPr>
              <w:spacing w:line="276" w:lineRule="auto"/>
              <w:ind w:left="34"/>
            </w:pPr>
            <w:r>
              <w:t xml:space="preserve">Монтаж </w:t>
            </w:r>
            <w:proofErr w:type="spellStart"/>
            <w:r>
              <w:t>зовнішніх</w:t>
            </w:r>
            <w:proofErr w:type="spellEnd"/>
            <w:r>
              <w:t xml:space="preserve"> </w:t>
            </w:r>
            <w:proofErr w:type="spellStart"/>
            <w:r>
              <w:t>інженерних</w:t>
            </w:r>
            <w:proofErr w:type="spellEnd"/>
            <w:r>
              <w:t xml:space="preserve"> мереж, систем, </w:t>
            </w:r>
            <w:proofErr w:type="spellStart"/>
            <w:r>
              <w:t>споруд</w:t>
            </w:r>
            <w:proofErr w:type="spellEnd"/>
            <w:r>
              <w:t xml:space="preserve">, </w:t>
            </w:r>
            <w:proofErr w:type="spellStart"/>
            <w:r>
              <w:t>приладів</w:t>
            </w:r>
            <w:proofErr w:type="spellEnd"/>
            <w:r>
              <w:t xml:space="preserve"> і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вимірювання</w:t>
            </w:r>
            <w:proofErr w:type="spellEnd"/>
            <w:r>
              <w:t xml:space="preserve"> </w:t>
            </w:r>
          </w:p>
        </w:tc>
      </w:tr>
      <w:tr w:rsidR="00C06048" w:rsidRPr="00D24506" w:rsidTr="000B5A56">
        <w:tc>
          <w:tcPr>
            <w:tcW w:w="1030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r>
              <w:t>2.02.01</w:t>
            </w:r>
          </w:p>
        </w:tc>
        <w:tc>
          <w:tcPr>
            <w:tcW w:w="8788" w:type="dxa"/>
            <w:vAlign w:val="center"/>
          </w:tcPr>
          <w:p w:rsidR="00C06048" w:rsidRDefault="00C06048" w:rsidP="00C06048">
            <w:pPr>
              <w:spacing w:line="276" w:lineRule="auto"/>
              <w:ind w:left="34"/>
            </w:pPr>
            <w:proofErr w:type="spellStart"/>
            <w:r>
              <w:t>Водопостачання</w:t>
            </w:r>
            <w:proofErr w:type="spellEnd"/>
            <w:r>
              <w:t xml:space="preserve"> та </w:t>
            </w:r>
            <w:proofErr w:type="spellStart"/>
            <w:r>
              <w:t>каналізації</w:t>
            </w:r>
            <w:proofErr w:type="spellEnd"/>
          </w:p>
        </w:tc>
      </w:tr>
      <w:tr w:rsidR="00C06048" w:rsidRPr="00D24506" w:rsidTr="000B5A56">
        <w:tc>
          <w:tcPr>
            <w:tcW w:w="1030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r>
              <w:t>2.02.02</w:t>
            </w:r>
          </w:p>
        </w:tc>
        <w:tc>
          <w:tcPr>
            <w:tcW w:w="8788" w:type="dxa"/>
            <w:vAlign w:val="center"/>
          </w:tcPr>
          <w:p w:rsidR="00C06048" w:rsidRDefault="00C06048" w:rsidP="00C06048">
            <w:pPr>
              <w:spacing w:line="276" w:lineRule="auto"/>
              <w:ind w:left="34"/>
            </w:pPr>
            <w:proofErr w:type="spellStart"/>
            <w:r>
              <w:t>Теплових</w:t>
            </w:r>
            <w:proofErr w:type="spellEnd"/>
            <w:r>
              <w:t xml:space="preserve"> і </w:t>
            </w:r>
            <w:proofErr w:type="spellStart"/>
            <w:r>
              <w:t>гарячого</w:t>
            </w:r>
            <w:proofErr w:type="spellEnd"/>
            <w:r>
              <w:t xml:space="preserve"> </w:t>
            </w:r>
            <w:proofErr w:type="spellStart"/>
            <w:r>
              <w:t>водопостачання</w:t>
            </w:r>
            <w:proofErr w:type="spellEnd"/>
          </w:p>
        </w:tc>
      </w:tr>
      <w:tr w:rsidR="00C06048" w:rsidRPr="00D24506" w:rsidTr="000B5A56">
        <w:tc>
          <w:tcPr>
            <w:tcW w:w="1030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r>
              <w:t>2.02.03</w:t>
            </w:r>
          </w:p>
        </w:tc>
        <w:tc>
          <w:tcPr>
            <w:tcW w:w="8788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proofErr w:type="spellStart"/>
            <w:r>
              <w:t>Газопостачання</w:t>
            </w:r>
            <w:proofErr w:type="spellEnd"/>
          </w:p>
        </w:tc>
      </w:tr>
      <w:tr w:rsidR="00C06048" w:rsidRPr="00D24506" w:rsidTr="000B5A56">
        <w:tc>
          <w:tcPr>
            <w:tcW w:w="1030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r>
              <w:t>2.02.05</w:t>
            </w:r>
          </w:p>
        </w:tc>
        <w:tc>
          <w:tcPr>
            <w:tcW w:w="8788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proofErr w:type="spellStart"/>
            <w:r>
              <w:t>Електропостачання</w:t>
            </w:r>
            <w:proofErr w:type="spellEnd"/>
            <w:r>
              <w:t xml:space="preserve">, </w:t>
            </w:r>
            <w:proofErr w:type="spellStart"/>
            <w:r>
              <w:t>електроосвітлення</w:t>
            </w:r>
            <w:proofErr w:type="spellEnd"/>
          </w:p>
        </w:tc>
      </w:tr>
      <w:tr w:rsidR="00C06048" w:rsidRPr="00D24506" w:rsidTr="000B5A56">
        <w:tc>
          <w:tcPr>
            <w:tcW w:w="1030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r>
              <w:t>2.02.06</w:t>
            </w:r>
          </w:p>
        </w:tc>
        <w:tc>
          <w:tcPr>
            <w:tcW w:w="8788" w:type="dxa"/>
            <w:vAlign w:val="center"/>
          </w:tcPr>
          <w:p w:rsidR="00C06048" w:rsidRDefault="00C06048" w:rsidP="00C06048">
            <w:pPr>
              <w:spacing w:line="276" w:lineRule="auto"/>
              <w:ind w:left="34"/>
            </w:pPr>
            <w:proofErr w:type="spellStart"/>
            <w:r>
              <w:t>Зв'язку</w:t>
            </w:r>
            <w:proofErr w:type="spellEnd"/>
            <w:r>
              <w:t xml:space="preserve">, </w:t>
            </w:r>
            <w:proofErr w:type="spellStart"/>
            <w:r>
              <w:t>сигналізації</w:t>
            </w:r>
            <w:proofErr w:type="spellEnd"/>
            <w:r>
              <w:t xml:space="preserve">, </w:t>
            </w:r>
            <w:proofErr w:type="spellStart"/>
            <w:r>
              <w:t>радіо</w:t>
            </w:r>
            <w:proofErr w:type="spellEnd"/>
            <w:r>
              <w:t xml:space="preserve">, </w:t>
            </w:r>
            <w:proofErr w:type="spellStart"/>
            <w:r>
              <w:t>телебачення</w:t>
            </w:r>
            <w:proofErr w:type="spellEnd"/>
            <w:r>
              <w:t xml:space="preserve">, </w:t>
            </w:r>
            <w:proofErr w:type="spellStart"/>
            <w:r>
              <w:t>інформаційних</w:t>
            </w:r>
            <w:proofErr w:type="spellEnd"/>
          </w:p>
        </w:tc>
      </w:tr>
      <w:tr w:rsidR="00C06048" w:rsidRPr="00D24506" w:rsidTr="000B5A56">
        <w:tc>
          <w:tcPr>
            <w:tcW w:w="1030" w:type="dxa"/>
            <w:vAlign w:val="bottom"/>
          </w:tcPr>
          <w:p w:rsidR="00C06048" w:rsidRDefault="00C06048" w:rsidP="00C06048">
            <w:pPr>
              <w:spacing w:line="276" w:lineRule="auto"/>
              <w:ind w:left="34"/>
            </w:pPr>
            <w:r>
              <w:t>2.03.00</w:t>
            </w:r>
          </w:p>
        </w:tc>
        <w:tc>
          <w:tcPr>
            <w:tcW w:w="8788" w:type="dxa"/>
            <w:vAlign w:val="center"/>
          </w:tcPr>
          <w:p w:rsidR="00C06048" w:rsidRDefault="00C06048" w:rsidP="00C06048">
            <w:pPr>
              <w:spacing w:line="276" w:lineRule="auto"/>
              <w:ind w:left="34"/>
            </w:pPr>
            <w:r>
              <w:rPr>
                <w:lang w:val="uk-UA"/>
              </w:rPr>
              <w:t>М</w:t>
            </w:r>
            <w:proofErr w:type="spellStart"/>
            <w:r>
              <w:t>онтаж</w:t>
            </w:r>
            <w:proofErr w:type="spellEnd"/>
            <w:r>
              <w:t xml:space="preserve"> </w:t>
            </w:r>
            <w:proofErr w:type="spellStart"/>
            <w:r>
              <w:t>інженерних</w:t>
            </w:r>
            <w:proofErr w:type="spellEnd"/>
            <w:r>
              <w:t xml:space="preserve"> </w:t>
            </w:r>
            <w:proofErr w:type="spellStart"/>
            <w:r>
              <w:t>споруд</w:t>
            </w:r>
            <w:proofErr w:type="spellEnd"/>
          </w:p>
        </w:tc>
      </w:tr>
    </w:tbl>
    <w:p w:rsidR="00853255" w:rsidRDefault="00853255">
      <w:pPr>
        <w:rPr>
          <w:lang w:val="uk-UA"/>
        </w:rPr>
      </w:pPr>
    </w:p>
    <w:p w:rsidR="00CF157E" w:rsidRDefault="00CF157E">
      <w:pPr>
        <w:rPr>
          <w:lang w:val="uk-UA"/>
        </w:rPr>
      </w:pPr>
    </w:p>
    <w:p w:rsidR="00503B2C" w:rsidRDefault="00503B2C" w:rsidP="00503B2C">
      <w:pPr>
        <w:rPr>
          <w:b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4817"/>
        <w:gridCol w:w="2273"/>
      </w:tblGrid>
      <w:tr w:rsidR="00CF157E" w:rsidTr="00C0604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Default="00CF157E" w:rsidP="00CF1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>
              <w:rPr>
                <w:b/>
                <w:lang w:val="uk-UA"/>
              </w:rPr>
              <w:t>ИМОГИ ДО ПРОФЕСІЙНОЇ СТРУКТИРИ</w:t>
            </w:r>
          </w:p>
        </w:tc>
      </w:tr>
      <w:tr w:rsidR="00CF157E" w:rsidRPr="00CF157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Посада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Освіта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Трудові відносин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Керівник підприємства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Головний інженер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будівельник», ПЦБ, МБ</w:t>
            </w:r>
            <w:r w:rsidR="00C06048">
              <w:rPr>
                <w:lang w:val="uk-UA"/>
              </w:rPr>
              <w:t>, ТГВ, ВВ, ЕЛМ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Начальник дільниці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 w:rsidR="00C06048">
              <w:rPr>
                <w:lang w:val="uk-UA"/>
              </w:rPr>
              <w:t>ПЦБ, МБ, ТГВ, ВВ, ЕЛМ</w:t>
            </w:r>
            <w:r w:rsidR="00C06048">
              <w:rPr>
                <w:lang w:val="uk-UA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 w:rsidP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>
              <w:rPr>
                <w:lang w:val="uk-UA"/>
              </w:rPr>
              <w:t>ВК, ВВ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>
              <w:rPr>
                <w:lang w:val="uk-UA"/>
              </w:rPr>
              <w:t>ТГВ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</w:t>
            </w:r>
            <w:r>
              <w:rPr>
                <w:lang w:val="uk-UA"/>
              </w:rPr>
              <w:t>електрик</w:t>
            </w:r>
            <w:r>
              <w:rPr>
                <w:lang w:val="uk-UA"/>
              </w:rPr>
              <w:t xml:space="preserve">», </w:t>
            </w:r>
            <w:r>
              <w:rPr>
                <w:lang w:val="uk-UA"/>
              </w:rPr>
              <w:t>ЕЛ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електромеханік», А і КВП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зв’язківець», Зв’язківець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06048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48" w:rsidRDefault="00C06048" w:rsidP="00C0604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Інженер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</w:t>
            </w:r>
            <w:r>
              <w:rPr>
                <w:lang w:val="uk-UA"/>
              </w:rPr>
              <w:t xml:space="preserve"> Технолог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06048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Інженер кошторисник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</w:t>
            </w:r>
            <w:r>
              <w:rPr>
                <w:lang w:val="uk-UA"/>
              </w:rPr>
              <w:t>»</w:t>
            </w:r>
            <w:r>
              <w:rPr>
                <w:lang w:val="uk-UA"/>
              </w:rPr>
              <w:t>, Економіст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06048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Юрист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«Юрист»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</w:tbl>
    <w:p w:rsidR="00503B2C" w:rsidRDefault="00503B2C" w:rsidP="00503B2C">
      <w:pPr>
        <w:rPr>
          <w:lang w:val="uk-UA"/>
        </w:rPr>
      </w:pPr>
    </w:p>
    <w:p w:rsidR="00503B2C" w:rsidRDefault="00503B2C">
      <w:pPr>
        <w:rPr>
          <w:lang w:val="uk-UA"/>
        </w:rPr>
      </w:pPr>
    </w:p>
    <w:sectPr w:rsidR="00503B2C" w:rsidSect="009A5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3"/>
    <w:rsid w:val="000B12D1"/>
    <w:rsid w:val="00102823"/>
    <w:rsid w:val="001E7DA4"/>
    <w:rsid w:val="00402039"/>
    <w:rsid w:val="00437574"/>
    <w:rsid w:val="00503B2C"/>
    <w:rsid w:val="00672D95"/>
    <w:rsid w:val="006D2BB5"/>
    <w:rsid w:val="007F53F2"/>
    <w:rsid w:val="008300B3"/>
    <w:rsid w:val="00830A0C"/>
    <w:rsid w:val="00853255"/>
    <w:rsid w:val="0093237B"/>
    <w:rsid w:val="009710F9"/>
    <w:rsid w:val="009A5AA2"/>
    <w:rsid w:val="00B126E0"/>
    <w:rsid w:val="00C06048"/>
    <w:rsid w:val="00C241E0"/>
    <w:rsid w:val="00CA2022"/>
    <w:rsid w:val="00CE6266"/>
    <w:rsid w:val="00CF157E"/>
    <w:rsid w:val="00D24506"/>
    <w:rsid w:val="00DC4D6E"/>
    <w:rsid w:val="00E64DD8"/>
    <w:rsid w:val="00FA5F7D"/>
    <w:rsid w:val="00FC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776CD5-AA6B-4018-87D8-F54EF3C2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126E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00B3"/>
  </w:style>
  <w:style w:type="paragraph" w:styleId="a4">
    <w:name w:val="Body Text"/>
    <w:basedOn w:val="a"/>
    <w:link w:val="a5"/>
    <w:rsid w:val="008300B3"/>
    <w:pPr>
      <w:spacing w:after="120"/>
    </w:pPr>
  </w:style>
  <w:style w:type="character" w:customStyle="1" w:styleId="a5">
    <w:name w:val="Основной текст Знак"/>
    <w:basedOn w:val="a0"/>
    <w:link w:val="a4"/>
    <w:rsid w:val="008300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basedOn w:val="a0"/>
    <w:rsid w:val="00DC4D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1pt">
    <w:name w:val="Основной текст (2) + 11 pt"/>
    <w:aliases w:val="Полужирный"/>
    <w:basedOn w:val="a0"/>
    <w:rsid w:val="00DC4D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customStyle="1" w:styleId="rvps12">
    <w:name w:val="rvps12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CA2022"/>
  </w:style>
  <w:style w:type="character" w:styleId="a6">
    <w:name w:val="Strong"/>
    <w:basedOn w:val="a0"/>
    <w:uiPriority w:val="22"/>
    <w:qFormat/>
    <w:rsid w:val="007F53F2"/>
    <w:rPr>
      <w:b/>
      <w:bCs/>
    </w:rPr>
  </w:style>
  <w:style w:type="character" w:customStyle="1" w:styleId="rvts9">
    <w:name w:val="rvts9"/>
    <w:basedOn w:val="a0"/>
    <w:rsid w:val="007F53F2"/>
  </w:style>
  <w:style w:type="character" w:customStyle="1" w:styleId="rvts23">
    <w:name w:val="rvts23"/>
    <w:basedOn w:val="a0"/>
    <w:rsid w:val="007F53F2"/>
  </w:style>
  <w:style w:type="character" w:customStyle="1" w:styleId="10">
    <w:name w:val="Заголовок 1 Знак"/>
    <w:basedOn w:val="a0"/>
    <w:link w:val="1"/>
    <w:rsid w:val="00B126E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6E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c">
    <w:name w:val="tc"/>
    <w:basedOn w:val="a"/>
    <w:rsid w:val="00CE6266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CE626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bukr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Andrey</cp:lastModifiedBy>
  <cp:revision>2</cp:revision>
  <dcterms:created xsi:type="dcterms:W3CDTF">2017-05-25T16:06:00Z</dcterms:created>
  <dcterms:modified xsi:type="dcterms:W3CDTF">2017-05-25T16:06:00Z</dcterms:modified>
</cp:coreProperties>
</file>